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line="240" w:lineRule="auto"/>
        <w:jc w:val="distribute"/>
        <w:textAlignment w:val="auto"/>
        <w:outlineLvl w:val="9"/>
        <w:rPr>
          <w:rFonts w:hint="eastAsia" w:ascii="方正小标宋简体" w:hAnsi="方正小标宋简体" w:eastAsia="方正小标宋简体" w:cs="方正小标宋简体"/>
          <w:color w:val="FF0000"/>
          <w:sz w:val="36"/>
          <w:szCs w:val="36"/>
        </w:rPr>
      </w:pPr>
      <w:r>
        <w:rPr>
          <w:rFonts w:hint="eastAsia" w:ascii="方正小标宋简体" w:hAnsi="方正小标宋简体" w:eastAsia="方正小标宋简体" w:cs="方正小标宋简体"/>
          <w:color w:val="FF0000"/>
          <w:sz w:val="42"/>
          <w:szCs w:val="42"/>
        </w:rPr>
        <w:t>南雄市新时期</w:t>
      </w:r>
      <w:bookmarkStart w:id="0" w:name="_GoBack"/>
      <w:bookmarkEnd w:id="0"/>
      <w:r>
        <w:rPr>
          <w:rFonts w:hint="eastAsia" w:ascii="方正小标宋简体" w:hAnsi="方正小标宋简体" w:eastAsia="方正小标宋简体" w:cs="方正小标宋简体"/>
          <w:color w:val="FF0000"/>
          <w:sz w:val="42"/>
          <w:szCs w:val="42"/>
        </w:rPr>
        <w:t>精准扶贫工作领导小组办公室</w:t>
      </w:r>
    </w:p>
    <w:p>
      <w:pPr>
        <w:keepNext w:val="0"/>
        <w:keepLines w:val="0"/>
        <w:pageBreakBefore w:val="0"/>
        <w:widowControl/>
        <w:kinsoku/>
        <w:wordWrap/>
        <w:overflowPunct/>
        <w:topLinePunct w:val="0"/>
        <w:autoSpaceDE/>
        <w:autoSpaceDN/>
        <w:bidi w:val="0"/>
        <w:adjustRightInd/>
        <w:snapToGrid/>
        <w:spacing w:after="0" w:line="240" w:lineRule="auto"/>
        <w:jc w:val="distribute"/>
        <w:textAlignment w:val="auto"/>
        <w:outlineLvl w:val="9"/>
        <w:rPr>
          <w:rFonts w:hint="eastAsia" w:ascii="方正小标宋简体" w:hAnsi="方正小标宋简体" w:eastAsia="方正小标宋简体" w:cs="方正小标宋简体"/>
          <w:color w:val="FF0000"/>
          <w:sz w:val="48"/>
          <w:szCs w:val="48"/>
        </w:rPr>
      </w:pPr>
      <w:r>
        <w:rPr>
          <w:rFonts w:hint="eastAsia" w:ascii="方正小标宋简体" w:hAnsi="方正小标宋简体" w:eastAsia="方正小标宋简体" w:cs="方正小标宋简体"/>
          <w:color w:val="FF0000"/>
          <w:sz w:val="48"/>
          <w:szCs w:val="48"/>
        </w:rPr>
        <w:t>南雄市教育局</w:t>
      </w:r>
    </w:p>
    <w:p>
      <w:pPr>
        <w:keepNext w:val="0"/>
        <w:keepLines w:val="0"/>
        <w:pageBreakBefore w:val="0"/>
        <w:widowControl/>
        <w:kinsoku/>
        <w:wordWrap/>
        <w:overflowPunct/>
        <w:topLinePunct w:val="0"/>
        <w:autoSpaceDE/>
        <w:autoSpaceDN/>
        <w:bidi w:val="0"/>
        <w:adjustRightInd/>
        <w:snapToGrid/>
        <w:spacing w:after="0" w:line="240" w:lineRule="auto"/>
        <w:jc w:val="distribute"/>
        <w:textAlignment w:val="auto"/>
        <w:outlineLvl w:val="9"/>
        <w:rPr>
          <w:rFonts w:hint="eastAsia" w:ascii="方正小标宋简体" w:hAnsi="方正小标宋简体" w:eastAsia="方正小标宋简体" w:cs="方正小标宋简体"/>
          <w:color w:val="FF0000"/>
          <w:sz w:val="48"/>
          <w:szCs w:val="48"/>
        </w:rPr>
      </w:pPr>
      <w:r>
        <w:rPr>
          <w:rFonts w:hint="eastAsia" w:ascii="方正小标宋简体" w:hAnsi="方正小标宋简体" w:eastAsia="方正小标宋简体" w:cs="方正小标宋简体"/>
          <w:color w:val="FF0000"/>
          <w:sz w:val="48"/>
          <w:szCs w:val="48"/>
        </w:rPr>
        <w:t>南雄市人力资源与社会保障局</w:t>
      </w:r>
    </w:p>
    <w:p>
      <w:pPr>
        <w:jc w:val="both"/>
        <w:rPr>
          <w:rFonts w:hint="eastAsia" w:ascii="仿宋_GB2312" w:hAnsi="仿宋_GB2312" w:eastAsia="仿宋_GB2312" w:cs="仿宋_GB2312"/>
          <w:sz w:val="32"/>
        </w:rPr>
      </w:pPr>
    </w:p>
    <w:p>
      <w:pPr>
        <w:jc w:val="center"/>
        <w:rPr>
          <w:rFonts w:ascii="仿宋_GB2312" w:eastAsia="仿宋_GB2312"/>
          <w:w w:val="77"/>
          <w:kern w:val="0"/>
          <w:sz w:val="32"/>
          <w:szCs w:val="32"/>
        </w:rPr>
      </w:pPr>
      <w:r>
        <mc:AlternateContent>
          <mc:Choice Requires="wps">
            <w:drawing>
              <wp:anchor distT="0" distB="0" distL="114300" distR="114300" simplePos="0" relativeHeight="251658240" behindDoc="0" locked="0" layoutInCell="1" allowOverlap="1">
                <wp:simplePos x="0" y="0"/>
                <wp:positionH relativeFrom="column">
                  <wp:posOffset>-63500</wp:posOffset>
                </wp:positionH>
                <wp:positionV relativeFrom="paragraph">
                  <wp:posOffset>487045</wp:posOffset>
                </wp:positionV>
                <wp:extent cx="5671820" cy="9525"/>
                <wp:effectExtent l="0" t="28575" r="5080" b="38100"/>
                <wp:wrapNone/>
                <wp:docPr id="1" name="线条1"/>
                <wp:cNvGraphicFramePr/>
                <a:graphic xmlns:a="http://schemas.openxmlformats.org/drawingml/2006/main">
                  <a:graphicData uri="http://schemas.microsoft.com/office/word/2010/wordprocessingShape">
                    <wps:wsp>
                      <wps:cNvCnPr/>
                      <wps:spPr>
                        <a:xfrm>
                          <a:off x="0" y="0"/>
                          <a:ext cx="5671820" cy="9525"/>
                        </a:xfrm>
                        <a:prstGeom prst="line">
                          <a:avLst/>
                        </a:prstGeom>
                        <a:ln w="57150" cap="flat" cmpd="thickThin">
                          <a:solidFill>
                            <a:srgbClr val="FF0000"/>
                          </a:solidFill>
                          <a:prstDash val="solid"/>
                          <a:headEnd type="none" w="med" len="med"/>
                          <a:tailEnd type="none" w="med" len="med"/>
                        </a:ln>
                        <a:effectLst/>
                      </wps:spPr>
                      <wps:bodyPr upright="1"/>
                    </wps:wsp>
                  </a:graphicData>
                </a:graphic>
              </wp:anchor>
            </w:drawing>
          </mc:Choice>
          <mc:Fallback>
            <w:pict>
              <v:line id="线条1" o:spid="_x0000_s1026" o:spt="20" style="position:absolute;left:0pt;margin-left:-5pt;margin-top:38.35pt;height:0.75pt;width:446.6pt;z-index:251658240;mso-width-relative:page;mso-height-relative:page;" filled="f" stroked="t" coordsize="21600,21600" o:gfxdata="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lPYZrWAAAACQEAAA8AAAAAAAAA&#10;AQAgAAAAIgAAAGRycy9kb3ducmV2LnhtbFBLAQIUABQAAAAIAIdO4kA+v/vr2gEAAKQDAAAOAAAA&#10;AAAAAAEAIAAAACUBAABkcnMvZTJvRG9jLnhtbFBLBQYAAAAABgAGAFkBAABxBQAAAAA=&#10;">
                <v:fill on="f" focussize="0,0"/>
                <v:stroke weight="4.5pt" color="#FF0000" linestyle="thickThin" joinstyle="round"/>
                <v:imagedata o:title=""/>
                <o:lock v:ext="edit" aspectratio="f"/>
              </v:line>
            </w:pict>
          </mc:Fallback>
        </mc:AlternateContent>
      </w:r>
      <w:r>
        <w:rPr>
          <w:rFonts w:hint="eastAsia" w:ascii="仿宋_GB2312" w:hAnsi="仿宋_GB2312" w:eastAsia="仿宋_GB2312" w:cs="仿宋_GB2312"/>
          <w:sz w:val="32"/>
        </w:rPr>
        <w:t>雄精准办〔</w:t>
      </w:r>
      <w:r>
        <w:rPr>
          <w:rFonts w:hint="eastAsia" w:ascii="仿宋_GB2312" w:hAnsi="仿宋_GB2312" w:eastAsia="仿宋_GB2312" w:cs="仿宋_GB2312"/>
          <w:sz w:val="32"/>
          <w:szCs w:val="32"/>
        </w:rPr>
        <w:t>2018</w:t>
      </w:r>
      <w:r>
        <w:rPr>
          <w:rFonts w:hint="eastAsia" w:ascii="仿宋_GB2312" w:hAnsi="仿宋_GB2312" w:eastAsia="仿宋_GB2312" w:cs="仿宋_GB2312"/>
          <w:sz w:val="32"/>
        </w:rPr>
        <w:t>〕</w:t>
      </w:r>
      <w:r>
        <w:rPr>
          <w:rFonts w:hint="eastAsia" w:ascii="仿宋_GB2312" w:hAnsi="仿宋_GB2312" w:eastAsia="仿宋_GB2312" w:cs="仿宋_GB2312"/>
          <w:sz w:val="32"/>
          <w:lang w:val="en-US" w:eastAsia="zh-CN"/>
        </w:rPr>
        <w:t>22</w:t>
      </w:r>
      <w:r>
        <w:rPr>
          <w:rFonts w:hint="eastAsia" w:ascii="仿宋_GB2312" w:hAnsi="仿宋_GB2312" w:eastAsia="仿宋_GB2312" w:cs="仿宋_GB2312"/>
          <w:sz w:val="32"/>
        </w:rPr>
        <w:t>号</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ascii="仿宋_GB2312" w:hAnsi="仿宋_GB2312" w:eastAsia="仿宋_GB2312" w:cs="方正小标宋简体"/>
          <w:color w:val="FF0000"/>
          <w:sz w:val="32"/>
          <w:szCs w:val="32"/>
        </w:rPr>
      </w:pP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关于做好我市2018年秋季学期建档立卡</w:t>
      </w:r>
    </w:p>
    <w:p>
      <w:pPr>
        <w:keepNext w:val="0"/>
        <w:keepLines w:val="0"/>
        <w:pageBreakBefore w:val="0"/>
        <w:widowControl/>
        <w:kinsoku/>
        <w:wordWrap/>
        <w:overflowPunct/>
        <w:topLinePunct w:val="0"/>
        <w:autoSpaceDE/>
        <w:autoSpaceDN/>
        <w:bidi w:val="0"/>
        <w:adjustRightInd/>
        <w:snapToGrid/>
        <w:spacing w:after="0" w:line="560" w:lineRule="exact"/>
        <w:jc w:val="center"/>
        <w:textAlignment w:val="auto"/>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学生信息统计及补助发放工作的通知</w:t>
      </w:r>
    </w:p>
    <w:p>
      <w:pPr>
        <w:keepNext w:val="0"/>
        <w:keepLines w:val="0"/>
        <w:pageBreakBefore w:val="0"/>
        <w:widowControl/>
        <w:kinsoku/>
        <w:wordWrap/>
        <w:overflowPunct/>
        <w:topLinePunct w:val="0"/>
        <w:autoSpaceDE/>
        <w:autoSpaceDN/>
        <w:bidi w:val="0"/>
        <w:adjustRightInd/>
        <w:snapToGrid/>
        <w:spacing w:after="0" w:line="560" w:lineRule="exact"/>
        <w:textAlignment w:val="auto"/>
        <w:rPr>
          <w:rFonts w:ascii="仿宋_GB2312" w:hAnsi="仿宋_GB2312" w:eastAsia="仿宋_GB2312" w:cs="仿宋_GB2312"/>
          <w:kern w:val="1"/>
          <w:sz w:val="32"/>
          <w:szCs w:val="32"/>
        </w:rPr>
      </w:pPr>
    </w:p>
    <w:p>
      <w:pPr>
        <w:keepNext w:val="0"/>
        <w:keepLines w:val="0"/>
        <w:pageBreakBefore w:val="0"/>
        <w:widowControl w:val="0"/>
        <w:kinsoku/>
        <w:wordWrap/>
        <w:overflowPunct/>
        <w:topLinePunct w:val="0"/>
        <w:autoSpaceDE/>
        <w:autoSpaceDN/>
        <w:bidi w:val="0"/>
        <w:adjustRightInd/>
        <w:snapToGrid/>
        <w:spacing w:after="0" w:line="560" w:lineRule="exact"/>
        <w:textAlignment w:val="auto"/>
        <w:outlineLvl w:val="9"/>
        <w:rPr>
          <w:rFonts w:hint="eastAsia"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各镇（街）、驻村</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lang w:val="en-US" w:eastAsia="zh-CN"/>
        </w:rPr>
        <w:t>镇</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rPr>
        <w:t>工作队</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lang w:val="en-US" w:eastAsia="zh-CN"/>
        </w:rPr>
        <w:t>组</w:t>
      </w:r>
      <w:r>
        <w:rPr>
          <w:rFonts w:hint="eastAsia" w:ascii="仿宋_GB2312" w:hAnsi="仿宋_GB2312" w:eastAsia="仿宋_GB2312" w:cs="仿宋_GB2312"/>
          <w:kern w:val="1"/>
          <w:sz w:val="32"/>
          <w:szCs w:val="32"/>
          <w:lang w:eastAsia="zh-CN"/>
        </w:rPr>
        <w:t>）</w:t>
      </w:r>
      <w:r>
        <w:rPr>
          <w:rFonts w:hint="eastAsia" w:ascii="仿宋_GB2312" w:hAnsi="仿宋_GB2312" w:eastAsia="仿宋_GB2312" w:cs="仿宋_GB2312"/>
          <w:kern w:val="1"/>
          <w:sz w:val="32"/>
          <w:szCs w:val="32"/>
        </w:rPr>
        <w:t>、各中小学、特殊学校、</w:t>
      </w:r>
    </w:p>
    <w:p>
      <w:pPr>
        <w:keepNext w:val="0"/>
        <w:keepLines w:val="0"/>
        <w:pageBreakBefore w:val="0"/>
        <w:widowControl w:val="0"/>
        <w:kinsoku/>
        <w:wordWrap/>
        <w:overflowPunct/>
        <w:topLinePunct w:val="0"/>
        <w:autoSpaceDE/>
        <w:autoSpaceDN/>
        <w:bidi w:val="0"/>
        <w:adjustRightInd/>
        <w:snapToGrid/>
        <w:spacing w:after="0" w:line="560" w:lineRule="exact"/>
        <w:textAlignment w:val="auto"/>
        <w:outlineLvl w:val="9"/>
        <w:rPr>
          <w:rFonts w:ascii="仿宋_GB2312" w:hAnsi="仿宋_GB2312" w:eastAsia="仿宋_GB2312" w:cs="仿宋_GB2312"/>
          <w:kern w:val="1"/>
          <w:sz w:val="32"/>
          <w:szCs w:val="32"/>
        </w:rPr>
      </w:pPr>
      <w:r>
        <w:rPr>
          <w:rFonts w:hint="eastAsia" w:ascii="仿宋_GB2312" w:hAnsi="仿宋_GB2312" w:eastAsia="仿宋_GB2312" w:cs="仿宋_GB2312"/>
          <w:kern w:val="1"/>
          <w:sz w:val="32"/>
          <w:szCs w:val="32"/>
        </w:rPr>
        <w:t>中等职业学校：</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jc w:val="both"/>
        <w:textAlignment w:val="auto"/>
        <w:outlineLvl w:val="9"/>
        <w:rPr>
          <w:rFonts w:hint="eastAsia" w:ascii="仿宋_GB2312" w:hAnsi="仿宋_GB2312" w:eastAsia="仿宋_GB2312" w:cs="仿宋_GB2312"/>
          <w:kern w:val="1"/>
          <w:sz w:val="32"/>
          <w:szCs w:val="32"/>
          <w:lang w:eastAsia="zh-CN"/>
        </w:rPr>
      </w:pPr>
      <w:r>
        <w:rPr>
          <w:rFonts w:hint="eastAsia" w:ascii="仿宋_GB2312" w:hAnsi="仿宋_GB2312" w:eastAsia="仿宋_GB2312" w:cs="仿宋_GB2312"/>
          <w:kern w:val="1"/>
          <w:sz w:val="32"/>
          <w:szCs w:val="32"/>
        </w:rPr>
        <w:t>根据省建档立卡教育补助政策，从2018年秋季起，建档立卡生活费补助发放方式调整为由学生户籍地负责足额发放，为确保建档立卡学生生活费补助的顺利发放，现要求各镇（街道）、各中小学填报我市2018年秋季建档立卡学生相关信息，为补助工作打下坚实基础。现将有关事项通知如下</w:t>
      </w:r>
      <w:r>
        <w:rPr>
          <w:rFonts w:hint="eastAsia" w:ascii="仿宋_GB2312" w:hAnsi="仿宋_GB2312" w:eastAsia="仿宋_GB2312" w:cs="仿宋_GB2312"/>
          <w:kern w:val="1"/>
          <w:sz w:val="32"/>
          <w:szCs w:val="32"/>
          <w:lang w:eastAsia="zh-CN"/>
        </w:rPr>
        <w:t>：</w:t>
      </w:r>
    </w:p>
    <w:p>
      <w:pPr>
        <w:pStyle w:val="4"/>
        <w:keepNext w:val="0"/>
        <w:keepLines w:val="0"/>
        <w:pageBreakBefore w:val="0"/>
        <w:widowControl w:val="0"/>
        <w:numPr>
          <w:ilvl w:val="0"/>
          <w:numId w:val="1"/>
        </w:numPr>
        <w:kinsoku/>
        <w:wordWrap/>
        <w:overflowPunct/>
        <w:topLinePunct w:val="0"/>
        <w:autoSpaceDE/>
        <w:autoSpaceDN/>
        <w:bidi w:val="0"/>
        <w:adjustRightInd/>
        <w:snapToGrid/>
        <w:spacing w:after="0" w:line="560" w:lineRule="exact"/>
        <w:ind w:left="1360" w:hanging="720"/>
        <w:jc w:val="both"/>
        <w:textAlignment w:val="auto"/>
        <w:outlineLvl w:val="9"/>
        <w:rPr>
          <w:rFonts w:ascii="黑体" w:hAnsi="黑体" w:eastAsia="黑体" w:cs="黑体"/>
          <w:sz w:val="32"/>
          <w:szCs w:val="32"/>
        </w:rPr>
      </w:pPr>
      <w:r>
        <w:rPr>
          <w:rFonts w:hint="eastAsia" w:ascii="黑体" w:hAnsi="黑体" w:eastAsia="黑体" w:cs="黑体"/>
          <w:sz w:val="32"/>
          <w:szCs w:val="32"/>
        </w:rPr>
        <w:t>广泛宣传精准资助建档立卡学生资助政策</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各部门要加强宣传，让学生和家长及时准确了解我省精准资助建档立卡学生免学费和生活费补助政策，使师生、家长知晓建档立卡学生资助政策的补助标准和补助对象，让学生及时了解并主动确认自己家庭情况是否符合资助条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jc w:val="both"/>
        <w:textAlignment w:val="auto"/>
        <w:outlineLvl w:val="9"/>
        <w:rPr>
          <w:rFonts w:ascii="黑体" w:hAnsi="黑体" w:eastAsia="黑体" w:cs="黑体"/>
          <w:sz w:val="32"/>
          <w:szCs w:val="32"/>
        </w:rPr>
      </w:pPr>
      <w:r>
        <w:rPr>
          <w:rFonts w:hint="eastAsia" w:ascii="黑体" w:hAnsi="黑体" w:eastAsia="黑体" w:cs="黑体"/>
          <w:sz w:val="32"/>
          <w:szCs w:val="32"/>
        </w:rPr>
        <w:t>二、认真组织填报，确保学生信息真实准确</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各镇（街道）、</w:t>
      </w:r>
      <w:r>
        <w:rPr>
          <w:rFonts w:hint="eastAsia" w:ascii="仿宋_GB2312" w:hAnsi="仿宋_GB2312" w:eastAsia="仿宋_GB2312" w:cs="仿宋_GB2312"/>
          <w:kern w:val="1"/>
          <w:sz w:val="32"/>
          <w:szCs w:val="32"/>
        </w:rPr>
        <w:t>驻村工作队（驻镇工作组）、</w:t>
      </w:r>
      <w:r>
        <w:rPr>
          <w:rFonts w:hint="eastAsia" w:ascii="仿宋_GB2312" w:hAnsi="仿宋_GB2312" w:eastAsia="仿宋_GB2312" w:cs="仿宋_GB2312"/>
          <w:sz w:val="32"/>
          <w:szCs w:val="32"/>
        </w:rPr>
        <w:t>各中小学要高度重视建档立卡等家庭经济困难学生信息确认统计工作，组织人员认真统计、核实学生信息，确保报送数据真实准确。</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3"/>
        <w:jc w:val="both"/>
        <w:textAlignment w:val="auto"/>
        <w:outlineLvl w:val="9"/>
        <w:rPr>
          <w:rFonts w:ascii="楷体_GB2312" w:hAnsi="楷体_GB2312" w:eastAsia="楷体_GB2312" w:cs="楷体_GB2312"/>
          <w:b/>
          <w:bCs/>
          <w:sz w:val="32"/>
          <w:szCs w:val="32"/>
        </w:rPr>
      </w:pPr>
      <w:r>
        <w:rPr>
          <w:rFonts w:hint="eastAsia" w:ascii="楷体_GB2312" w:hAnsi="楷体_GB2312" w:eastAsia="楷体_GB2312" w:cs="楷体_GB2312"/>
          <w:b w:val="0"/>
          <w:bCs w:val="0"/>
          <w:sz w:val="32"/>
          <w:szCs w:val="32"/>
        </w:rPr>
        <w:t>（一）填报学生范围</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填报学生范围为2018年秋季学期在校的小学、初中、高中、职中、技校、大专、本科及研究生就读全日制阶段的南雄市建档立卡学生。</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3"/>
        <w:jc w:val="both"/>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（二）学生信息填报</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1、南雄市内学校就读的符合资助条件的建档立卡学生，由南雄市内各学校负责组织填报《南雄市2018年秋季在读建档立卡等资助学生名单统计表》（以下简称《统计表》，《统计表》详见附件）。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2、南雄市外省内及省外就读的建档立卡学生，由各</w:t>
      </w:r>
      <w:r>
        <w:rPr>
          <w:rFonts w:hint="eastAsia" w:ascii="仿宋_GB2312" w:hAnsi="仿宋_GB2312" w:eastAsia="仿宋_GB2312" w:cs="仿宋_GB2312"/>
          <w:kern w:val="1"/>
          <w:sz w:val="32"/>
          <w:szCs w:val="32"/>
        </w:rPr>
        <w:t>驻村工作队（驻镇工作组）</w:t>
      </w:r>
      <w:r>
        <w:rPr>
          <w:rFonts w:hint="eastAsia" w:ascii="仿宋_GB2312" w:hAnsi="仿宋_GB2312" w:eastAsia="仿宋_GB2312" w:cs="仿宋_GB2312"/>
          <w:sz w:val="32"/>
          <w:szCs w:val="32"/>
        </w:rPr>
        <w:t>负责组织填报《统计表》并上报各镇“精准”办汇总。</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3、各</w:t>
      </w:r>
      <w:r>
        <w:rPr>
          <w:rFonts w:hint="eastAsia" w:ascii="仿宋_GB2312" w:hAnsi="仿宋_GB2312" w:eastAsia="仿宋_GB2312" w:cs="仿宋_GB2312"/>
          <w:kern w:val="1"/>
          <w:sz w:val="32"/>
          <w:szCs w:val="32"/>
        </w:rPr>
        <w:t>驻村工作队（驻镇工作组）还要收集</w:t>
      </w:r>
      <w:r>
        <w:rPr>
          <w:rFonts w:hint="eastAsia" w:ascii="仿宋_GB2312" w:hAnsi="仿宋_GB2312" w:eastAsia="仿宋_GB2312" w:cs="仿宋_GB2312"/>
          <w:sz w:val="32"/>
          <w:szCs w:val="32"/>
        </w:rPr>
        <w:t>南雄市外省内及省外就读的建档立卡学生的学籍证明资料及银行卡信息资料（纸质版），一并上报到镇，由镇汇总上报到市“精准”办，作为市教育局</w:t>
      </w:r>
      <w:r>
        <w:rPr>
          <w:rFonts w:hint="eastAsia" w:ascii="仿宋_GB2312" w:hAnsi="仿宋_GB2312" w:eastAsia="仿宋_GB2312" w:cs="仿宋_GB2312"/>
          <w:color w:val="auto"/>
          <w:sz w:val="32"/>
          <w:szCs w:val="32"/>
          <w:highlight w:val="none"/>
        </w:rPr>
        <w:t>、市人社局</w:t>
      </w:r>
      <w:r>
        <w:rPr>
          <w:rFonts w:hint="eastAsia" w:ascii="仿宋_GB2312" w:hAnsi="仿宋_GB2312" w:eastAsia="仿宋_GB2312" w:cs="仿宋_GB2312"/>
          <w:sz w:val="32"/>
          <w:szCs w:val="32"/>
        </w:rPr>
        <w:t>发放补助的依据。</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（1）学籍证明资料的收集：市外省内的学生可以在网上获得并打印作为在读证明，中小学生查询途径是：</w:t>
      </w:r>
      <w:r>
        <w:rPr>
          <w:rFonts w:ascii="仿宋_GB2312" w:hAnsi="仿宋_GB2312" w:eastAsia="仿宋_GB2312" w:cs="仿宋_GB2312"/>
          <w:sz w:val="32"/>
          <w:szCs w:val="32"/>
        </w:rPr>
        <w:t>①</w:t>
      </w:r>
      <w:r>
        <w:rPr>
          <w:rFonts w:hint="eastAsia" w:ascii="仿宋_GB2312" w:hAnsi="仿宋_GB2312" w:eastAsia="仿宋_GB2312" w:cs="仿宋_GB2312"/>
          <w:sz w:val="32"/>
          <w:szCs w:val="32"/>
        </w:rPr>
        <w:t>广东省教育厅在政务微信公众号“广东教育”（ID：gdsjyt）、</w:t>
      </w:r>
      <w:r>
        <w:rPr>
          <w:rFonts w:ascii="仿宋_GB2312" w:hAnsi="仿宋_GB2312" w:eastAsia="仿宋_GB2312" w:cs="仿宋_GB2312"/>
          <w:sz w:val="32"/>
          <w:szCs w:val="32"/>
        </w:rPr>
        <w:t>②</w:t>
      </w:r>
      <w:r>
        <w:rPr>
          <w:rFonts w:hint="eastAsia" w:ascii="仿宋_GB2312" w:hAnsi="仿宋_GB2312" w:eastAsia="仿宋_GB2312" w:cs="仿宋_GB2312"/>
          <w:sz w:val="32"/>
          <w:szCs w:val="32"/>
        </w:rPr>
        <w:t>广东省教育厅阳光政务平台（</w:t>
      </w:r>
      <w:r>
        <w:rPr>
          <w:rFonts w:hint="eastAsia" w:ascii="仿宋_GB2312" w:hAnsi="仿宋_GB2312" w:eastAsia="仿宋_GB2312" w:cs="仿宋_GB2312"/>
          <w:sz w:val="32"/>
          <w:szCs w:val="32"/>
        </w:rPr>
        <w:drawing>
          <wp:inline distT="0" distB="0" distL="114300" distR="114300">
            <wp:extent cx="190500" cy="142875"/>
            <wp:effectExtent l="0" t="0" r="0" b="9525"/>
            <wp:docPr id="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56"/>
                    <pic:cNvPicPr>
                      <a:picLocks noChangeAspect="1"/>
                    </pic:cNvPicPr>
                  </pic:nvPicPr>
                  <pic:blipFill>
                    <a:blip r:embed="rId5" cstate="print"/>
                    <a:stretch>
                      <a:fillRect/>
                    </a:stretch>
                  </pic:blipFill>
                  <pic:spPr>
                    <a:xfrm>
                      <a:off x="0" y="0"/>
                      <a:ext cx="190500" cy="142875"/>
                    </a:xfrm>
                    <a:prstGeom prst="rect">
                      <a:avLst/>
                    </a:prstGeom>
                    <a:noFill/>
                    <a:ln w="9525">
                      <a:noFill/>
                    </a:ln>
                  </pic:spPr>
                </pic:pic>
              </a:graphicData>
            </a:graphic>
          </wp:inline>
        </w:drawing>
      </w:r>
      <w:r>
        <w:rPr>
          <w:rFonts w:hint="eastAsia" w:ascii="仿宋_GB2312" w:hAnsi="仿宋_GB2312" w:eastAsia="仿宋_GB2312" w:cs="仿宋_GB2312"/>
          <w:sz w:val="32"/>
          <w:szCs w:val="32"/>
        </w:rPr>
        <w:t>http://ygzw.gdedu.gov.cn）、</w:t>
      </w:r>
      <w:r>
        <w:rPr>
          <w:rFonts w:ascii="仿宋_GB2312" w:hAnsi="仿宋_GB2312" w:eastAsia="仿宋_GB2312" w:cs="仿宋_GB2312"/>
          <w:sz w:val="32"/>
          <w:szCs w:val="32"/>
        </w:rPr>
        <w:t>③</w:t>
      </w:r>
      <w:r>
        <w:rPr>
          <w:rFonts w:hint="eastAsia" w:ascii="仿宋_GB2312" w:hAnsi="仿宋_GB2312" w:eastAsia="仿宋_GB2312" w:cs="仿宋_GB2312"/>
          <w:sz w:val="32"/>
          <w:szCs w:val="32"/>
        </w:rPr>
        <w:t>广东政务服务网（</w:t>
      </w:r>
      <w:r>
        <w:rPr>
          <w:rFonts w:hint="eastAsia" w:ascii="仿宋_GB2312" w:hAnsi="仿宋_GB2312" w:eastAsia="仿宋_GB2312" w:cs="仿宋_GB2312"/>
          <w:sz w:val="32"/>
          <w:szCs w:val="32"/>
        </w:rPr>
        <w:drawing>
          <wp:inline distT="0" distB="0" distL="114300" distR="114300">
            <wp:extent cx="190500" cy="142875"/>
            <wp:effectExtent l="0" t="0" r="0" b="9525"/>
            <wp:docPr id="6" name="图片 6"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57"/>
                    <pic:cNvPicPr>
                      <a:picLocks noChangeAspect="1"/>
                    </pic:cNvPicPr>
                  </pic:nvPicPr>
                  <pic:blipFill>
                    <a:blip r:embed="rId5" cstate="print"/>
                    <a:stretch>
                      <a:fillRect/>
                    </a:stretch>
                  </pic:blipFill>
                  <pic:spPr>
                    <a:xfrm>
                      <a:off x="0" y="0"/>
                      <a:ext cx="190500" cy="142875"/>
                    </a:xfrm>
                    <a:prstGeom prst="rect">
                      <a:avLst/>
                    </a:prstGeom>
                    <a:noFill/>
                    <a:ln w="9525">
                      <a:noFill/>
                    </a:ln>
                  </pic:spPr>
                </pic:pic>
              </a:graphicData>
            </a:graphic>
          </wp:inline>
        </w:drawing>
      </w:r>
      <w:r>
        <w:rPr>
          <w:rFonts w:hint="eastAsia" w:ascii="仿宋_GB2312" w:hAnsi="仿宋_GB2312" w:eastAsia="仿宋_GB2312" w:cs="仿宋_GB2312"/>
          <w:sz w:val="32"/>
          <w:szCs w:val="32"/>
        </w:rPr>
        <w:t>http://www.gdzwfw.gov.cn），大专以上学生查询途径是：</w:t>
      </w:r>
      <w:r>
        <w:rPr>
          <w:rFonts w:hint="eastAsia" w:ascii="微软雅黑" w:hAnsi="微软雅黑" w:eastAsia="微软雅黑" w:cs="微软雅黑"/>
          <w:sz w:val="32"/>
          <w:szCs w:val="32"/>
        </w:rPr>
        <w:t>④</w:t>
      </w:r>
      <w:r>
        <w:rPr>
          <w:rFonts w:hint="eastAsia" w:ascii="仿宋_GB2312" w:hAnsi="仿宋_GB2312" w:eastAsia="仿宋_GB2312" w:cs="仿宋_GB2312"/>
          <w:sz w:val="32"/>
          <w:szCs w:val="32"/>
        </w:rPr>
        <w:t>中国高等教育学生信息网（学信网，https://www.chsi.com.cn/）；省外就读的学生如无法在网上获取，要求上交就读学校的在读证明（提供学籍基本信息表或在读证明材料并加盖学校公章,</w:t>
      </w:r>
      <w:r>
        <w:rPr>
          <w:rFonts w:hint="eastAsia" w:ascii="仿宋_GB2312" w:hAnsi="仿宋_GB2312" w:eastAsia="仿宋_GB2312"/>
          <w:sz w:val="32"/>
          <w:szCs w:val="32"/>
        </w:rPr>
        <w:t xml:space="preserve"> 在外省高校就读的需要在证明中注明是在读</w:t>
      </w:r>
      <w:r>
        <w:rPr>
          <w:rFonts w:hint="eastAsia" w:ascii="仿宋_GB2312" w:hAnsi="仿宋_GB2312" w:eastAsia="仿宋_GB2312"/>
          <w:b/>
          <w:bCs/>
          <w:sz w:val="32"/>
          <w:szCs w:val="32"/>
        </w:rPr>
        <w:t>全日制</w:t>
      </w:r>
      <w:r>
        <w:rPr>
          <w:rFonts w:hint="eastAsia" w:ascii="仿宋_GB2312" w:hAnsi="仿宋_GB2312" w:eastAsia="仿宋_GB2312"/>
          <w:b/>
          <w:sz w:val="32"/>
          <w:szCs w:val="32"/>
        </w:rPr>
        <w:t>本专科及研究生</w:t>
      </w:r>
      <w:r>
        <w:rPr>
          <w:rFonts w:hint="eastAsia" w:ascii="仿宋_GB2312" w:hAnsi="仿宋_GB2312" w:eastAsia="仿宋_GB2312"/>
          <w:sz w:val="32"/>
          <w:szCs w:val="32"/>
        </w:rPr>
        <w:t>学生</w:t>
      </w:r>
      <w:r>
        <w:rPr>
          <w:rFonts w:hint="eastAsia" w:ascii="仿宋_GB2312" w:hAnsi="仿宋_GB2312" w:eastAsia="仿宋_GB2312" w:cs="仿宋_GB2312"/>
          <w:sz w:val="32"/>
          <w:szCs w:val="32"/>
        </w:rPr>
        <w:t>）。</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（2）学生银行卡信息资料收集（复印件），优先收集学生本人的银行卡信息资料，如无法获取，可收集贫困户家长的银行卡信息资料（注，贫困户家长必须是在建档立卡成员内的）</w:t>
      </w:r>
      <w:r>
        <w:rPr>
          <w:rFonts w:hint="eastAsia" w:ascii="仿宋_GB2312" w:hAnsi="仿宋_GB2312" w:eastAsia="仿宋_GB2312" w:cs="仿宋_GB2312"/>
          <w:sz w:val="32"/>
          <w:szCs w:val="32"/>
          <w:lang w:eastAsia="zh-CN"/>
        </w:rPr>
        <w:t>。</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3"/>
        <w:jc w:val="both"/>
        <w:textAlignment w:val="auto"/>
        <w:outlineLvl w:val="9"/>
        <w:rPr>
          <w:rFonts w:ascii="楷体_GB2312" w:hAnsi="楷体_GB2312" w:eastAsia="楷体_GB2312" w:cs="楷体_GB2312"/>
          <w:b/>
          <w:bCs/>
          <w:sz w:val="32"/>
          <w:szCs w:val="32"/>
        </w:rPr>
      </w:pPr>
      <w:r>
        <w:rPr>
          <w:rFonts w:hint="eastAsia" w:ascii="楷体_GB2312" w:hAnsi="楷体_GB2312" w:eastAsia="楷体_GB2312" w:cs="楷体_GB2312"/>
          <w:b w:val="0"/>
          <w:bCs w:val="0"/>
          <w:sz w:val="32"/>
          <w:szCs w:val="32"/>
        </w:rPr>
        <w:t>（三）核对汇总</w:t>
      </w:r>
    </w:p>
    <w:p>
      <w:pPr>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1、审核材料。各镇（街道）“精准”办要对《统计表》内容与证明材料进行审核，重点审核《统计表》内容与证明材料是否一致，证明材料是否在有效期内等信息。</w:t>
      </w:r>
    </w:p>
    <w:p>
      <w:pPr>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2、属学校填报的学生，学校在确认学籍系统中为正常在校生状态时，逐一核对《统计表》中的学生信息，确保与学籍系统（包括中小学、特殊学校、中职学籍系统）上的学生信息完全一致。</w:t>
      </w:r>
    </w:p>
    <w:p>
      <w:pPr>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各中小学确认南雄市学籍建档立卡学生受助信息后，要及时在“全国学生资助管理信息系统”的义务教育、普通高中、中职等各资助子系统中完成相应的资助信息填报工作。资助系统中建档立卡学生的受助信息将作为中央和省级财政资金预算和清算的重要依据。</w:t>
      </w:r>
    </w:p>
    <w:p>
      <w:pPr>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3、上报《统计表》</w:t>
      </w:r>
    </w:p>
    <w:p>
      <w:pPr>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（1）各中小学校、特殊学校和中职学校将核对后的《统计表》加盖公章于2018年11月7日前报市教育局。</w:t>
      </w:r>
    </w:p>
    <w:p>
      <w:pPr>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（2）各镇（街道）“精准”办将核对后的《统计表》（加盖镇公章）以及学籍证明资料及银行卡信息资料于2018年11月9日前报市“精准”办。</w:t>
      </w:r>
    </w:p>
    <w:p>
      <w:pPr>
        <w:keepNext w:val="0"/>
        <w:keepLines w:val="0"/>
        <w:pageBreakBefore w:val="0"/>
        <w:widowControl w:val="0"/>
        <w:kinsoku/>
        <w:wordWrap/>
        <w:overflowPunct/>
        <w:topLinePunct w:val="0"/>
        <w:autoSpaceDE/>
        <w:autoSpaceDN/>
        <w:bidi w:val="0"/>
        <w:adjustRightInd/>
        <w:snapToGrid/>
        <w:spacing w:after="0" w:line="560" w:lineRule="exact"/>
        <w:ind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（3）市“精准”办将属于教育局发放的学生数据移交给市教育局进行发放，将属于人社局发放的学生数据移交给市人社局进行发放。对于本科及研究生建档立卡学生不在</w:t>
      </w:r>
      <w:r>
        <w:rPr>
          <w:rFonts w:hint="eastAsia" w:ascii="仿宋_GB2312" w:hAnsi="仿宋_GB2312" w:eastAsia="仿宋_GB2312" w:cs="仿宋_GB2312"/>
          <w:kern w:val="1"/>
          <w:sz w:val="32"/>
          <w:szCs w:val="32"/>
        </w:rPr>
        <w:t>省建档立卡教育补助政策范围内的，将积极争取其他资金进行资助。</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outlineLvl w:val="9"/>
        <w:rPr>
          <w:rFonts w:hint="eastAsia" w:ascii="仿宋_GB2312" w:hAnsi="仿宋_GB2312" w:eastAsia="仿宋_GB2312" w:cs="仿宋_GB2312"/>
          <w:kern w:val="1"/>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kern w:val="1"/>
          <w:sz w:val="32"/>
          <w:szCs w:val="32"/>
        </w:rPr>
        <w:t>南雄市2018年秋季在读建档立卡等资助学生</w:t>
      </w:r>
      <w:r>
        <w:rPr>
          <w:rFonts w:hint="eastAsia" w:ascii="仿宋_GB2312" w:hAnsi="仿宋_GB2312" w:eastAsia="仿宋_GB2312" w:cs="仿宋_GB2312"/>
          <w:kern w:val="1"/>
          <w:sz w:val="32"/>
          <w:szCs w:val="32"/>
          <w:lang w:eastAsia="zh-CN"/>
        </w:rPr>
        <w:t>名</w:t>
      </w:r>
      <w:r>
        <w:rPr>
          <w:rFonts w:hint="eastAsia" w:ascii="仿宋_GB2312" w:hAnsi="仿宋_GB2312" w:eastAsia="仿宋_GB2312" w:cs="仿宋_GB2312"/>
          <w:kern w:val="1"/>
          <w:sz w:val="32"/>
          <w:szCs w:val="32"/>
        </w:rPr>
        <w:t xml:space="preserve">单统计表  </w:t>
      </w:r>
    </w:p>
    <w:p>
      <w:pPr>
        <w:keepNext w:val="0"/>
        <w:keepLines w:val="0"/>
        <w:pageBreakBefore w:val="0"/>
        <w:widowControl w:val="0"/>
        <w:kinsoku/>
        <w:wordWrap/>
        <w:overflowPunct/>
        <w:topLinePunct w:val="0"/>
        <w:autoSpaceDE/>
        <w:autoSpaceDN/>
        <w:bidi w:val="0"/>
        <w:adjustRightInd/>
        <w:snapToGrid/>
        <w:spacing w:after="0" w:line="560" w:lineRule="exact"/>
        <w:ind w:left="1789" w:hanging="1120"/>
        <w:textAlignment w:val="auto"/>
        <w:outlineLvl w:val="9"/>
        <w:rPr>
          <w:rFonts w:hint="eastAsia" w:ascii="仿宋_GB2312" w:hAnsi="仿宋_GB2312" w:eastAsia="仿宋_GB2312" w:cs="仿宋_GB2312"/>
          <w:kern w:val="1"/>
          <w:sz w:val="32"/>
          <w:szCs w:val="32"/>
        </w:r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40" w:firstLineChars="20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南雄市“精准”办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南雄市教育局</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0"/>
        <w:jc w:val="both"/>
        <w:textAlignment w:val="auto"/>
        <w:outlineLvl w:val="9"/>
        <w:rPr>
          <w:rFonts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0"/>
        <w:jc w:val="both"/>
        <w:textAlignment w:val="auto"/>
        <w:outlineLvl w:val="9"/>
        <w:rPr>
          <w:rFonts w:ascii="仿宋_GB2312" w:hAnsi="仿宋_GB2312" w:eastAsia="仿宋_GB2312" w:cs="仿宋_GB2312"/>
          <w:sz w:val="32"/>
          <w:szCs w:val="32"/>
        </w:r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0"/>
        <w:jc w:val="both"/>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color w:val="auto"/>
          <w:sz w:val="32"/>
          <w:szCs w:val="32"/>
        </w:rPr>
        <w:t>南雄市人力资源和社会保障局</w:t>
      </w:r>
    </w:p>
    <w:p>
      <w:pPr>
        <w:pStyle w:val="4"/>
        <w:keepNext w:val="0"/>
        <w:keepLines w:val="0"/>
        <w:pageBreakBefore w:val="0"/>
        <w:widowControl w:val="0"/>
        <w:kinsoku/>
        <w:wordWrap/>
        <w:overflowPunct/>
        <w:topLinePunct w:val="0"/>
        <w:autoSpaceDE/>
        <w:autoSpaceDN/>
        <w:bidi w:val="0"/>
        <w:adjustRightInd/>
        <w:snapToGrid/>
        <w:spacing w:after="0" w:line="560" w:lineRule="exact"/>
        <w:jc w:val="both"/>
        <w:textAlignment w:val="auto"/>
        <w:outlineLvl w:val="9"/>
        <w:rPr>
          <w:rFonts w:hint="eastAsia" w:ascii="方正小标宋简体" w:hAnsi="方正小标宋简体" w:eastAsia="方正小标宋简体" w:cs="方正小标宋简体"/>
          <w:color w:val="FF0000"/>
          <w:sz w:val="42"/>
          <w:szCs w:val="4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2018年1</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日</w:t>
      </w:r>
    </w:p>
    <w:sectPr>
      <w:footerReference r:id="rId3" w:type="default"/>
      <w:pgSz w:w="11906" w:h="16838"/>
      <w:pgMar w:top="2098" w:right="1474" w:bottom="1984"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PAGE  \* MERGEFORMAT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fldChar w:fldCharType="begin"/>
                    </w:r>
                    <w:r>
                      <w:rPr>
                        <w:rFonts w:hint="eastAsia" w:ascii="仿宋_GB2312" w:hAnsi="仿宋_GB2312" w:eastAsia="仿宋_GB2312" w:cs="仿宋_GB2312"/>
                        <w:sz w:val="32"/>
                        <w:szCs w:val="32"/>
                        <w:lang w:eastAsia="zh-CN"/>
                      </w:rPr>
                      <w:instrText xml:space="preserve"> PAGE  \* MERGEFORMAT </w:instrText>
                    </w:r>
                    <w:r>
                      <w:rPr>
                        <w:rFonts w:hint="eastAsia" w:ascii="仿宋_GB2312" w:hAnsi="仿宋_GB2312" w:eastAsia="仿宋_GB2312" w:cs="仿宋_GB2312"/>
                        <w:sz w:val="32"/>
                        <w:szCs w:val="32"/>
                        <w:lang w:eastAsia="zh-CN"/>
                      </w:rPr>
                      <w:fldChar w:fldCharType="separate"/>
                    </w:r>
                    <w:r>
                      <w:rPr>
                        <w:rFonts w:hint="eastAsia" w:ascii="仿宋_GB2312" w:hAnsi="仿宋_GB2312" w:eastAsia="仿宋_GB2312" w:cs="仿宋_GB2312"/>
                        <w:sz w:val="32"/>
                        <w:szCs w:val="32"/>
                        <w:lang w:eastAsia="zh-CN"/>
                      </w:rPr>
                      <w:t>1</w:t>
                    </w:r>
                    <w:r>
                      <w:rPr>
                        <w:rFonts w:hint="eastAsia" w:ascii="仿宋_GB2312" w:hAnsi="仿宋_GB2312" w:eastAsia="仿宋_GB2312" w:cs="仿宋_GB2312"/>
                        <w:sz w:val="32"/>
                        <w:szCs w:val="32"/>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A54F03"/>
    <w:multiLevelType w:val="multilevel"/>
    <w:tmpl w:val="56A54F03"/>
    <w:lvl w:ilvl="0" w:tentative="0">
      <w:start w:val="1"/>
      <w:numFmt w:val="japaneseCounting"/>
      <w:lvlText w:val="%1、"/>
      <w:lvlJc w:val="left"/>
      <w:pPr>
        <w:ind w:left="640" w:firstLine="0"/>
      </w:pPr>
    </w:lvl>
    <w:lvl w:ilvl="1" w:tentative="0">
      <w:start w:val="1"/>
      <w:numFmt w:val="lowerLetter"/>
      <w:lvlText w:val="%2)"/>
      <w:lvlJc w:val="left"/>
      <w:pPr>
        <w:ind w:left="1060" w:firstLine="0"/>
      </w:pPr>
    </w:lvl>
    <w:lvl w:ilvl="2" w:tentative="0">
      <w:start w:val="1"/>
      <w:numFmt w:val="lowerRoman"/>
      <w:lvlText w:val="%3."/>
      <w:lvlJc w:val="left"/>
      <w:pPr>
        <w:ind w:left="1480" w:firstLine="0"/>
      </w:pPr>
    </w:lvl>
    <w:lvl w:ilvl="3" w:tentative="0">
      <w:start w:val="1"/>
      <w:numFmt w:val="decimal"/>
      <w:lvlText w:val="%4."/>
      <w:lvlJc w:val="left"/>
      <w:pPr>
        <w:ind w:left="1900" w:firstLine="0"/>
      </w:pPr>
    </w:lvl>
    <w:lvl w:ilvl="4" w:tentative="0">
      <w:start w:val="1"/>
      <w:numFmt w:val="lowerLetter"/>
      <w:lvlText w:val="%5)"/>
      <w:lvlJc w:val="left"/>
      <w:pPr>
        <w:ind w:left="2320" w:firstLine="0"/>
      </w:pPr>
    </w:lvl>
    <w:lvl w:ilvl="5" w:tentative="0">
      <w:start w:val="1"/>
      <w:numFmt w:val="lowerRoman"/>
      <w:lvlText w:val="%6."/>
      <w:lvlJc w:val="left"/>
      <w:pPr>
        <w:ind w:left="2740" w:firstLine="0"/>
      </w:pPr>
    </w:lvl>
    <w:lvl w:ilvl="6" w:tentative="0">
      <w:start w:val="1"/>
      <w:numFmt w:val="decimal"/>
      <w:lvlText w:val="%7."/>
      <w:lvlJc w:val="left"/>
      <w:pPr>
        <w:ind w:left="3160" w:firstLine="0"/>
      </w:pPr>
    </w:lvl>
    <w:lvl w:ilvl="7" w:tentative="0">
      <w:start w:val="1"/>
      <w:numFmt w:val="lowerLetter"/>
      <w:lvlText w:val="%8)"/>
      <w:lvlJc w:val="left"/>
      <w:pPr>
        <w:ind w:left="3580" w:firstLine="0"/>
      </w:pPr>
    </w:lvl>
    <w:lvl w:ilvl="8" w:tentative="0">
      <w:start w:val="1"/>
      <w:numFmt w:val="lowerRoman"/>
      <w:lvlText w:val="%9."/>
      <w:lvlJc w:val="left"/>
      <w:pPr>
        <w:ind w:left="400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E53D45"/>
    <w:rsid w:val="10E53D45"/>
    <w:rsid w:val="198C6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pBdr>
        <w:top w:val="none" w:color="000000" w:sz="0" w:space="0"/>
        <w:left w:val="none" w:color="000000" w:sz="0" w:space="0"/>
        <w:bottom w:val="none" w:color="000000" w:sz="0" w:space="0"/>
        <w:right w:val="none" w:color="000000" w:sz="0" w:space="0"/>
        <w:between w:val="none" w:color="000000" w:sz="0" w:space="0"/>
      </w:pBdr>
      <w:spacing w:after="200"/>
    </w:pPr>
    <w:rPr>
      <w:rFonts w:ascii="Tahoma" w:hAnsi="Tahoma" w:eastAsia="微软雅黑" w:cs="Times New Roman"/>
      <w:sz w:val="22"/>
      <w:szCs w:val="22"/>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qFormat/>
    <w:uiPriority w:val="0"/>
    <w:pPr>
      <w:pBdr>
        <w:top w:val="none" w:color="000000" w:sz="0" w:space="3"/>
        <w:left w:val="none" w:color="000000" w:sz="0" w:space="3"/>
        <w:bottom w:val="none" w:color="000000" w:sz="0" w:space="3"/>
        <w:right w:val="none" w:color="000000" w:sz="0" w:space="3"/>
        <w:between w:val="none" w:color="000000" w:sz="0" w:space="0"/>
      </w:pBdr>
      <w:spacing w:after="240"/>
      <w:ind w:firstLine="48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Office_11.1.0.7949_F1E327BC-269C-435d-A152-05C5408002CA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2018-11-07T08:42:00Z</dcterms:created>
  <dc:creator>olga</dc:creator>
  <cp:lastModifiedBy>lsm</cp:lastModifiedBy>
  <dcterms:modified xsi:type="dcterms:W3CDTF">2018-11-07T08:51:16Z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2052-11.1.0.7949</vt:lpwstr>
  </property>
</Properties>
</file>